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BD5" w:rsidRDefault="00AC5BD5" w:rsidP="00AC5BD5">
      <w:pPr>
        <w:jc w:val="center"/>
        <w:rPr>
          <w:sz w:val="24"/>
          <w:szCs w:val="24"/>
          <w:lang w:val="ru-RU" w:eastAsia="en-US"/>
        </w:rPr>
      </w:pPr>
    </w:p>
    <w:p w:rsidR="00AC5BD5" w:rsidRDefault="00AC5BD5" w:rsidP="00AC5BD5">
      <w:pPr>
        <w:pStyle w:val="a6"/>
        <w:numPr>
          <w:ilvl w:val="0"/>
          <w:numId w:val="2"/>
        </w:numPr>
        <w:spacing w:after="0" w:line="252" w:lineRule="auto"/>
        <w:jc w:val="center"/>
        <w:rPr>
          <w:b/>
          <w:bCs/>
          <w:sz w:val="28"/>
          <w:szCs w:val="28"/>
        </w:rPr>
      </w:pPr>
      <w:r>
        <w:rPr>
          <w:noProof/>
        </w:rPr>
        <w:drawing>
          <wp:anchor distT="0" distB="0" distL="114300" distR="114300" simplePos="0" relativeHeight="251659264" behindDoc="0" locked="0" layoutInCell="1" allowOverlap="1">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AC5BD5" w:rsidRDefault="00AC5BD5" w:rsidP="00AC5BD5">
      <w:pPr>
        <w:pStyle w:val="a6"/>
        <w:numPr>
          <w:ilvl w:val="0"/>
          <w:numId w:val="2"/>
        </w:numPr>
        <w:spacing w:after="0" w:line="252" w:lineRule="auto"/>
        <w:rPr>
          <w:b/>
          <w:bCs/>
          <w:sz w:val="28"/>
          <w:szCs w:val="28"/>
        </w:rPr>
      </w:pPr>
    </w:p>
    <w:p w:rsidR="00AC5BD5" w:rsidRDefault="00AC5BD5" w:rsidP="00AC5BD5">
      <w:pPr>
        <w:pStyle w:val="a6"/>
        <w:numPr>
          <w:ilvl w:val="0"/>
          <w:numId w:val="2"/>
        </w:numPr>
        <w:spacing w:after="0" w:line="252" w:lineRule="auto"/>
        <w:rPr>
          <w:b/>
          <w:bCs/>
          <w:sz w:val="28"/>
          <w:szCs w:val="28"/>
        </w:rPr>
      </w:pPr>
    </w:p>
    <w:p w:rsidR="00AC5BD5" w:rsidRDefault="00AC5BD5" w:rsidP="00AC5BD5">
      <w:pPr>
        <w:pStyle w:val="a6"/>
        <w:numPr>
          <w:ilvl w:val="0"/>
          <w:numId w:val="2"/>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AC5BD5" w:rsidRDefault="00AC5BD5" w:rsidP="00AC5BD5">
      <w:pPr>
        <w:pStyle w:val="a6"/>
        <w:numPr>
          <w:ilvl w:val="0"/>
          <w:numId w:val="2"/>
        </w:numPr>
        <w:spacing w:after="0" w:line="252" w:lineRule="auto"/>
        <w:jc w:val="center"/>
        <w:rPr>
          <w:b/>
          <w:bCs/>
          <w:sz w:val="28"/>
          <w:szCs w:val="28"/>
        </w:rPr>
      </w:pPr>
      <w:r>
        <w:rPr>
          <w:rFonts w:ascii="Times New Roman" w:hAnsi="Times New Roman" w:cs="Times New Roman"/>
          <w:b/>
          <w:bCs/>
          <w:sz w:val="28"/>
          <w:szCs w:val="28"/>
        </w:rPr>
        <w:t>ОДЕСЬКОГО РАЙОНУ ОДЕСЬКОЇ ОБЛАСТІ</w:t>
      </w:r>
    </w:p>
    <w:p w:rsidR="00AC5BD5" w:rsidRDefault="00AC5BD5" w:rsidP="00AC5BD5">
      <w:pPr>
        <w:pStyle w:val="a6"/>
        <w:numPr>
          <w:ilvl w:val="0"/>
          <w:numId w:val="2"/>
        </w:numPr>
        <w:spacing w:after="0" w:line="252" w:lineRule="auto"/>
        <w:jc w:val="center"/>
        <w:rPr>
          <w:b/>
          <w:bCs/>
          <w:sz w:val="28"/>
          <w:szCs w:val="28"/>
        </w:rPr>
      </w:pPr>
    </w:p>
    <w:p w:rsidR="00AC5BD5" w:rsidRDefault="00AC5BD5" w:rsidP="00AC5BD5">
      <w:pPr>
        <w:pStyle w:val="a3"/>
        <w:numPr>
          <w:ilvl w:val="0"/>
          <w:numId w:val="2"/>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AC5BD5" w:rsidRDefault="00AC5BD5" w:rsidP="00AC5BD5">
      <w:pPr>
        <w:pStyle w:val="a3"/>
        <w:numPr>
          <w:ilvl w:val="0"/>
          <w:numId w:val="2"/>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AC5BD5" w:rsidRDefault="00AC5BD5" w:rsidP="00AC5BD5">
      <w:pPr>
        <w:pStyle w:val="a3"/>
        <w:numPr>
          <w:ilvl w:val="0"/>
          <w:numId w:val="2"/>
        </w:numPr>
        <w:spacing w:before="0" w:beforeAutospacing="0" w:after="0" w:afterAutospacing="0"/>
        <w:jc w:val="center"/>
        <w:rPr>
          <w:bCs/>
          <w:sz w:val="28"/>
          <w:szCs w:val="28"/>
        </w:rPr>
      </w:pPr>
    </w:p>
    <w:tbl>
      <w:tblPr>
        <w:tblStyle w:val="a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AC5BD5" w:rsidTr="00AC5BD5">
        <w:tc>
          <w:tcPr>
            <w:tcW w:w="9747" w:type="dxa"/>
          </w:tcPr>
          <w:p w:rsidR="00AC5BD5" w:rsidRDefault="00AC5BD5">
            <w:pPr>
              <w:pStyle w:val="a3"/>
              <w:spacing w:before="0" w:beforeAutospacing="0" w:after="0" w:afterAutospacing="0"/>
              <w:jc w:val="both"/>
              <w:rPr>
                <w:bCs/>
                <w:sz w:val="28"/>
                <w:szCs w:val="28"/>
              </w:rPr>
            </w:pPr>
            <w:r>
              <w:rPr>
                <w:bCs/>
                <w:sz w:val="28"/>
                <w:szCs w:val="28"/>
              </w:rPr>
              <w:t xml:space="preserve">від  22.09.2025 року                                                                                      № </w:t>
            </w:r>
            <w:r w:rsidR="007E56AB">
              <w:rPr>
                <w:bCs/>
                <w:sz w:val="28"/>
                <w:szCs w:val="28"/>
              </w:rPr>
              <w:t>3329</w:t>
            </w:r>
          </w:p>
          <w:p w:rsidR="00AC5BD5" w:rsidRDefault="00AC5BD5">
            <w:pPr>
              <w:pStyle w:val="a3"/>
              <w:spacing w:before="0" w:beforeAutospacing="0" w:after="0" w:afterAutospacing="0"/>
              <w:rPr>
                <w:b/>
                <w:sz w:val="28"/>
                <w:szCs w:val="28"/>
              </w:rPr>
            </w:pPr>
          </w:p>
        </w:tc>
      </w:tr>
    </w:tbl>
    <w:p w:rsidR="0049014D" w:rsidRDefault="0049014D" w:rsidP="0049014D">
      <w:pPr>
        <w:jc w:val="both"/>
        <w:rPr>
          <w:b/>
          <w:sz w:val="28"/>
          <w:szCs w:val="24"/>
        </w:rPr>
      </w:pPr>
      <w:r>
        <w:rPr>
          <w:b/>
          <w:sz w:val="28"/>
          <w:szCs w:val="24"/>
        </w:rPr>
        <w:t>Про надання дозволу 26 прикордонному загону Державної прикордонної служби України на розроблення технічної документації із землеустрою щодо встановлення меж частини земельної ділянки, на яку поширюється право сервітуту військової частини 2138 на частину земельної ділянки комунальної власності кадастровий номер 5122783900:02:001:</w:t>
      </w:r>
      <w:r w:rsidR="00774C7B">
        <w:rPr>
          <w:b/>
          <w:sz w:val="28"/>
          <w:szCs w:val="24"/>
        </w:rPr>
        <w:t>1415</w:t>
      </w:r>
      <w:r>
        <w:rPr>
          <w:b/>
          <w:sz w:val="28"/>
          <w:szCs w:val="24"/>
        </w:rPr>
        <w:t xml:space="preserve">, для будівництва, облаштування та утримання інженерно-технічних і фортифікаційних споруд, огорож, прикордонних знаків, прикордонних просік, комунікацій (код обмеження щодо використання земель та земельних ділянок 07.10 інші земельні сервітути), що розташована в межах села Нова </w:t>
      </w:r>
      <w:proofErr w:type="spellStart"/>
      <w:r>
        <w:rPr>
          <w:b/>
          <w:sz w:val="28"/>
          <w:szCs w:val="24"/>
        </w:rPr>
        <w:t>Дофінівка</w:t>
      </w:r>
      <w:proofErr w:type="spellEnd"/>
      <w:r>
        <w:rPr>
          <w:b/>
          <w:sz w:val="28"/>
          <w:szCs w:val="24"/>
        </w:rPr>
        <w:t xml:space="preserve">, </w:t>
      </w:r>
      <w:proofErr w:type="spellStart"/>
      <w:r>
        <w:rPr>
          <w:b/>
          <w:sz w:val="28"/>
          <w:szCs w:val="24"/>
        </w:rPr>
        <w:t>Фонтанська</w:t>
      </w:r>
      <w:proofErr w:type="spellEnd"/>
      <w:r>
        <w:rPr>
          <w:b/>
          <w:sz w:val="28"/>
          <w:szCs w:val="24"/>
        </w:rPr>
        <w:t xml:space="preserve"> сільська рада, Одеський район, Одеська область</w:t>
      </w:r>
    </w:p>
    <w:p w:rsidR="0049014D" w:rsidRDefault="0049014D" w:rsidP="0049014D">
      <w:pPr>
        <w:jc w:val="center"/>
        <w:rPr>
          <w:b/>
          <w:sz w:val="28"/>
          <w:szCs w:val="24"/>
        </w:rPr>
      </w:pPr>
    </w:p>
    <w:p w:rsidR="0049014D" w:rsidRDefault="0049014D" w:rsidP="0049014D">
      <w:pPr>
        <w:jc w:val="both"/>
        <w:rPr>
          <w:sz w:val="28"/>
          <w:szCs w:val="24"/>
        </w:rPr>
      </w:pPr>
      <w:r>
        <w:rPr>
          <w:sz w:val="28"/>
          <w:szCs w:val="28"/>
        </w:rPr>
        <w:t>К</w:t>
      </w:r>
      <w:r w:rsidRPr="00FF3EF1">
        <w:rPr>
          <w:sz w:val="28"/>
          <w:szCs w:val="28"/>
        </w:rPr>
        <w:t xml:space="preserve">еруючись </w:t>
      </w:r>
      <w:r w:rsidR="00560052">
        <w:rPr>
          <w:sz w:val="28"/>
          <w:szCs w:val="28"/>
        </w:rPr>
        <w:t>частиною 3 статті 77, пункту «ж-2» статті 99, статей 122,123</w:t>
      </w:r>
      <w:r>
        <w:rPr>
          <w:sz w:val="28"/>
          <w:szCs w:val="28"/>
        </w:rPr>
        <w:t xml:space="preserve"> Земельного кодексу України</w:t>
      </w:r>
      <w:r>
        <w:rPr>
          <w:sz w:val="28"/>
          <w:szCs w:val="24"/>
        </w:rPr>
        <w:t>,</w:t>
      </w:r>
      <w:r>
        <w:rPr>
          <w:sz w:val="28"/>
          <w:szCs w:val="28"/>
        </w:rPr>
        <w:t xml:space="preserve"> </w:t>
      </w:r>
      <w:r w:rsidR="00560052">
        <w:rPr>
          <w:sz w:val="28"/>
          <w:szCs w:val="28"/>
        </w:rPr>
        <w:t>статті 55-1</w:t>
      </w:r>
      <w:r>
        <w:rPr>
          <w:sz w:val="28"/>
          <w:szCs w:val="28"/>
        </w:rPr>
        <w:t>Закон</w:t>
      </w:r>
      <w:r w:rsidR="00560052">
        <w:rPr>
          <w:sz w:val="28"/>
          <w:szCs w:val="28"/>
        </w:rPr>
        <w:t>у</w:t>
      </w:r>
      <w:r>
        <w:rPr>
          <w:sz w:val="28"/>
          <w:szCs w:val="28"/>
        </w:rPr>
        <w:t xml:space="preserve"> України «Про землеустрій», </w:t>
      </w:r>
      <w:r w:rsidR="00560052">
        <w:rPr>
          <w:sz w:val="28"/>
          <w:szCs w:val="28"/>
        </w:rPr>
        <w:t>Переліку обмежень щодо використання земель та земельних ділянок (Додаток 6) до Порядку ведення Державного земельного кадастру, затвердженого постановою Кабінету Міністрів України від 17.10.2012 №1051</w:t>
      </w:r>
      <w:r>
        <w:rPr>
          <w:sz w:val="28"/>
          <w:szCs w:val="28"/>
        </w:rPr>
        <w:t xml:space="preserve">, </w:t>
      </w:r>
      <w:r w:rsidRPr="004C5F7B">
        <w:rPr>
          <w:sz w:val="28"/>
          <w:szCs w:val="28"/>
        </w:rPr>
        <w:t>ст.ст.</w:t>
      </w:r>
      <w:r>
        <w:rPr>
          <w:sz w:val="28"/>
          <w:szCs w:val="28"/>
        </w:rPr>
        <w:t xml:space="preserve"> </w:t>
      </w:r>
      <w:r w:rsidRPr="004C5F7B">
        <w:rPr>
          <w:sz w:val="28"/>
          <w:szCs w:val="28"/>
        </w:rPr>
        <w:t>26, 59 Закону України «Про місцеве самоврядування в Україні»</w:t>
      </w:r>
      <w:r>
        <w:rPr>
          <w:sz w:val="28"/>
          <w:szCs w:val="28"/>
        </w:rPr>
        <w:t xml:space="preserve">, розглянувши звернення в.о. начальника 26 прикордонного загону полковника </w:t>
      </w:r>
      <w:proofErr w:type="spellStart"/>
      <w:r>
        <w:rPr>
          <w:sz w:val="28"/>
          <w:szCs w:val="28"/>
        </w:rPr>
        <w:t>Ігора</w:t>
      </w:r>
      <w:proofErr w:type="spellEnd"/>
      <w:r>
        <w:rPr>
          <w:sz w:val="28"/>
          <w:szCs w:val="28"/>
        </w:rPr>
        <w:t xml:space="preserve"> </w:t>
      </w:r>
      <w:proofErr w:type="spellStart"/>
      <w:r>
        <w:rPr>
          <w:sz w:val="28"/>
          <w:szCs w:val="28"/>
        </w:rPr>
        <w:t>Панчука</w:t>
      </w:r>
      <w:proofErr w:type="spellEnd"/>
      <w:r>
        <w:rPr>
          <w:sz w:val="28"/>
          <w:szCs w:val="28"/>
        </w:rPr>
        <w:t xml:space="preserve"> стосовно надання дозволу </w:t>
      </w:r>
      <w:r w:rsidRPr="0049014D">
        <w:rPr>
          <w:sz w:val="28"/>
          <w:szCs w:val="24"/>
        </w:rPr>
        <w:t>на розроблення технічної документації із землеустрою щодо встановлення меж частини земельної ділянки, на яку поширюється право сервітуту військової частини 2138 на частину земельної ділянки комунальної власності кадастровий номер 5122783900:02:001:</w:t>
      </w:r>
      <w:r w:rsidR="00774C7B">
        <w:rPr>
          <w:sz w:val="28"/>
          <w:szCs w:val="24"/>
        </w:rPr>
        <w:t>1415</w:t>
      </w:r>
      <w:r w:rsidRPr="0049014D">
        <w:rPr>
          <w:sz w:val="28"/>
          <w:szCs w:val="24"/>
        </w:rPr>
        <w:t xml:space="preserve"> для будівництва, облаштування та утримання інженерно-технічних і фортифікаційних споруд, огорож, прикордонних знаків, прикордонних просік, комунікацій (код обмеження щодо використання земель та земельних ділянок 07.10 інші земельні сервітути), що розташована в межах села Нова </w:t>
      </w:r>
      <w:proofErr w:type="spellStart"/>
      <w:r w:rsidRPr="0049014D">
        <w:rPr>
          <w:sz w:val="28"/>
          <w:szCs w:val="24"/>
        </w:rPr>
        <w:t>Дофінівка</w:t>
      </w:r>
      <w:proofErr w:type="spellEnd"/>
      <w:r w:rsidRPr="0049014D">
        <w:rPr>
          <w:sz w:val="28"/>
          <w:szCs w:val="24"/>
        </w:rPr>
        <w:t xml:space="preserve">, </w:t>
      </w:r>
      <w:proofErr w:type="spellStart"/>
      <w:r w:rsidRPr="0049014D">
        <w:rPr>
          <w:sz w:val="28"/>
          <w:szCs w:val="24"/>
        </w:rPr>
        <w:t>Фонтанська</w:t>
      </w:r>
      <w:proofErr w:type="spellEnd"/>
      <w:r w:rsidRPr="0049014D">
        <w:rPr>
          <w:sz w:val="28"/>
          <w:szCs w:val="24"/>
        </w:rPr>
        <w:t xml:space="preserve"> сільська рада, Одеський район, Одеська область</w:t>
      </w:r>
      <w:r w:rsidRPr="0049014D">
        <w:rPr>
          <w:sz w:val="28"/>
          <w:szCs w:val="28"/>
        </w:rPr>
        <w:t>,</w:t>
      </w:r>
      <w:r>
        <w:rPr>
          <w:sz w:val="28"/>
          <w:szCs w:val="28"/>
        </w:rPr>
        <w:t xml:space="preserve"> враховуючи висновки та пропозиції постійної депутатської комісії з питань земельних відносин, природокористування, планування території,</w:t>
      </w:r>
      <w:r>
        <w:rPr>
          <w:sz w:val="28"/>
          <w:szCs w:val="24"/>
        </w:rPr>
        <w:t xml:space="preserve"> Фонтанська сільська рада Одеського району Одеської області, -</w:t>
      </w:r>
    </w:p>
    <w:p w:rsidR="0049014D" w:rsidRDefault="0049014D" w:rsidP="0049014D">
      <w:pPr>
        <w:ind w:firstLine="567"/>
        <w:jc w:val="both"/>
        <w:rPr>
          <w:sz w:val="28"/>
          <w:szCs w:val="24"/>
        </w:rPr>
      </w:pPr>
    </w:p>
    <w:p w:rsidR="0049014D" w:rsidRDefault="0049014D" w:rsidP="0049014D">
      <w:pPr>
        <w:jc w:val="center"/>
        <w:rPr>
          <w:b/>
          <w:sz w:val="28"/>
          <w:szCs w:val="24"/>
        </w:rPr>
      </w:pPr>
      <w:r>
        <w:rPr>
          <w:b/>
          <w:sz w:val="28"/>
          <w:szCs w:val="24"/>
        </w:rPr>
        <w:t>ВИРІШИЛА:</w:t>
      </w:r>
    </w:p>
    <w:p w:rsidR="00CC45C6" w:rsidRPr="00CC45C6" w:rsidRDefault="0049014D" w:rsidP="0049014D">
      <w:pPr>
        <w:ind w:firstLine="567"/>
        <w:jc w:val="both"/>
        <w:rPr>
          <w:sz w:val="28"/>
          <w:szCs w:val="24"/>
        </w:rPr>
      </w:pPr>
      <w:r>
        <w:rPr>
          <w:sz w:val="28"/>
          <w:szCs w:val="24"/>
        </w:rPr>
        <w:lastRenderedPageBreak/>
        <w:t>1.</w:t>
      </w:r>
      <w:r w:rsidRPr="00D0243F">
        <w:rPr>
          <w:color w:val="000000" w:themeColor="text1"/>
          <w:sz w:val="28"/>
          <w:szCs w:val="28"/>
        </w:rPr>
        <w:t xml:space="preserve">Надати дозвіл </w:t>
      </w:r>
      <w:r w:rsidR="00CC45C6">
        <w:rPr>
          <w:color w:val="000000" w:themeColor="text1"/>
          <w:sz w:val="28"/>
          <w:szCs w:val="28"/>
        </w:rPr>
        <w:t>26 прикордонному загону Державної прикордонної служби України</w:t>
      </w:r>
      <w:r>
        <w:rPr>
          <w:color w:val="000000" w:themeColor="text1"/>
          <w:sz w:val="28"/>
          <w:szCs w:val="28"/>
        </w:rPr>
        <w:t xml:space="preserve"> (код ЄДРПОУ </w:t>
      </w:r>
      <w:r w:rsidR="00CC45C6">
        <w:rPr>
          <w:color w:val="000000" w:themeColor="text1"/>
          <w:sz w:val="28"/>
          <w:szCs w:val="28"/>
        </w:rPr>
        <w:t>14321386</w:t>
      </w:r>
      <w:r>
        <w:rPr>
          <w:color w:val="000000" w:themeColor="text1"/>
          <w:sz w:val="28"/>
          <w:szCs w:val="28"/>
        </w:rPr>
        <w:t xml:space="preserve">) </w:t>
      </w:r>
      <w:r w:rsidR="00CC45C6" w:rsidRPr="00CC45C6">
        <w:rPr>
          <w:sz w:val="28"/>
          <w:szCs w:val="24"/>
        </w:rPr>
        <w:t>на розроблення технічної документації із землеустрою щодо встановлення меж частини земельної ділянки, на яку поширюється право сервітуту військової частини 2138 на частину земельної ділянки комунальної власності кадастровий номер 5122783900:02:001:</w:t>
      </w:r>
      <w:r w:rsidR="00774C7B">
        <w:rPr>
          <w:sz w:val="28"/>
          <w:szCs w:val="24"/>
        </w:rPr>
        <w:t>1415</w:t>
      </w:r>
      <w:bookmarkStart w:id="0" w:name="_GoBack"/>
      <w:bookmarkEnd w:id="0"/>
      <w:r w:rsidR="00CC45C6" w:rsidRPr="00CC45C6">
        <w:rPr>
          <w:sz w:val="28"/>
          <w:szCs w:val="24"/>
        </w:rPr>
        <w:t xml:space="preserve">, орієнтовною площею 0,16 га, для будівництва, облаштування та утримання інженерно-технічних і фортифікаційних споруд, огорож, прикордонних знаків, прикордонних просік, комунікацій (код обмеження щодо використання земель та земельних ділянок 07.10 інші земельні сервітути), що розташована в межах села Нова </w:t>
      </w:r>
      <w:proofErr w:type="spellStart"/>
      <w:r w:rsidR="00CC45C6" w:rsidRPr="00CC45C6">
        <w:rPr>
          <w:sz w:val="28"/>
          <w:szCs w:val="24"/>
        </w:rPr>
        <w:t>Дофінівка</w:t>
      </w:r>
      <w:proofErr w:type="spellEnd"/>
      <w:r w:rsidR="00CC45C6" w:rsidRPr="00CC45C6">
        <w:rPr>
          <w:sz w:val="28"/>
          <w:szCs w:val="24"/>
        </w:rPr>
        <w:t xml:space="preserve">, </w:t>
      </w:r>
      <w:proofErr w:type="spellStart"/>
      <w:r w:rsidR="00CC45C6" w:rsidRPr="00CC45C6">
        <w:rPr>
          <w:sz w:val="28"/>
          <w:szCs w:val="24"/>
        </w:rPr>
        <w:t>Фонтанська</w:t>
      </w:r>
      <w:proofErr w:type="spellEnd"/>
      <w:r w:rsidR="00CC45C6" w:rsidRPr="00CC45C6">
        <w:rPr>
          <w:sz w:val="28"/>
          <w:szCs w:val="24"/>
        </w:rPr>
        <w:t xml:space="preserve"> сільська рада, Одеський район, Одеська область.</w:t>
      </w:r>
    </w:p>
    <w:p w:rsidR="0049014D" w:rsidRPr="00D0243F" w:rsidRDefault="0049014D" w:rsidP="0049014D">
      <w:pPr>
        <w:ind w:firstLine="567"/>
        <w:jc w:val="both"/>
        <w:rPr>
          <w:sz w:val="28"/>
          <w:szCs w:val="24"/>
        </w:rPr>
      </w:pPr>
      <w:r>
        <w:rPr>
          <w:color w:val="000000" w:themeColor="text1"/>
          <w:sz w:val="28"/>
          <w:szCs w:val="28"/>
        </w:rPr>
        <w:t xml:space="preserve">2.Технічну документацію із землеустрою щодо </w:t>
      </w:r>
      <w:r w:rsidR="00CC45C6" w:rsidRPr="00CC45C6">
        <w:rPr>
          <w:sz w:val="28"/>
          <w:szCs w:val="24"/>
        </w:rPr>
        <w:t xml:space="preserve">встановлення меж частини земельної ділянки, на яку поширюється право сервітуту </w:t>
      </w:r>
      <w:r w:rsidRPr="00D0243F">
        <w:rPr>
          <w:bCs/>
          <w:color w:val="000000" w:themeColor="text1"/>
          <w:sz w:val="28"/>
          <w:szCs w:val="28"/>
        </w:rPr>
        <w:t>подати до розгляду та затвердження у встановленому законодавством порядку.</w:t>
      </w:r>
    </w:p>
    <w:p w:rsidR="0049014D" w:rsidRDefault="0049014D" w:rsidP="0049014D">
      <w:pPr>
        <w:ind w:firstLine="567"/>
        <w:jc w:val="both"/>
        <w:rPr>
          <w:sz w:val="28"/>
          <w:szCs w:val="28"/>
        </w:rPr>
      </w:pPr>
      <w:r>
        <w:rPr>
          <w:sz w:val="28"/>
          <w:szCs w:val="24"/>
        </w:rPr>
        <w:t xml:space="preserve">  3. </w:t>
      </w:r>
      <w:r>
        <w:rPr>
          <w:sz w:val="28"/>
          <w:szCs w:val="28"/>
        </w:rPr>
        <w:t xml:space="preserve">Контроль </w:t>
      </w:r>
      <w:r w:rsidRPr="00BA3EBB">
        <w:rPr>
          <w:sz w:val="28"/>
          <w:szCs w:val="28"/>
        </w:rPr>
        <w:t>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49014D" w:rsidRDefault="0049014D" w:rsidP="0049014D">
      <w:pPr>
        <w:ind w:firstLine="567"/>
        <w:jc w:val="both"/>
        <w:rPr>
          <w:sz w:val="28"/>
          <w:szCs w:val="28"/>
        </w:rPr>
      </w:pPr>
    </w:p>
    <w:p w:rsidR="0049014D" w:rsidRDefault="0049014D" w:rsidP="0049014D">
      <w:pPr>
        <w:ind w:firstLine="567"/>
        <w:jc w:val="both"/>
        <w:rPr>
          <w:sz w:val="28"/>
          <w:szCs w:val="28"/>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28404C" w:rsidRDefault="0028404C" w:rsidP="0028404C">
      <w:pPr>
        <w:rPr>
          <w:lang w:eastAsia="en-US"/>
        </w:rPr>
      </w:pPr>
      <w:r>
        <w:rPr>
          <w:b/>
          <w:bCs/>
          <w:sz w:val="28"/>
          <w:szCs w:val="28"/>
          <w:lang w:eastAsia="ar-SA"/>
        </w:rPr>
        <w:t>В.о. сільського голови                                                               Андрій СЕРЕБРІЙ</w:t>
      </w: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p w:rsidR="0049014D" w:rsidRDefault="0049014D" w:rsidP="0049014D">
      <w:pPr>
        <w:jc w:val="both"/>
        <w:rPr>
          <w:sz w:val="24"/>
          <w:szCs w:val="24"/>
          <w:lang w:eastAsia="uk-UA"/>
        </w:rPr>
      </w:pPr>
    </w:p>
    <w:sectPr w:rsidR="0049014D">
      <w:pgSz w:w="12240" w:h="15840"/>
      <w:pgMar w:top="568" w:right="850" w:bottom="1134" w:left="1418"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F4C5B1F"/>
    <w:multiLevelType w:val="multilevel"/>
    <w:tmpl w:val="0B201A4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3F6"/>
    <w:rsid w:val="00254138"/>
    <w:rsid w:val="0028404C"/>
    <w:rsid w:val="002C63F6"/>
    <w:rsid w:val="0049014D"/>
    <w:rsid w:val="00560052"/>
    <w:rsid w:val="006759EE"/>
    <w:rsid w:val="00774C7B"/>
    <w:rsid w:val="007E56AB"/>
    <w:rsid w:val="00A47F2D"/>
    <w:rsid w:val="00AC5BD5"/>
    <w:rsid w:val="00CC4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14D"/>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014D"/>
    <w:pPr>
      <w:spacing w:before="100" w:beforeAutospacing="1" w:after="100" w:afterAutospacing="1"/>
    </w:pPr>
    <w:rPr>
      <w:sz w:val="24"/>
      <w:szCs w:val="24"/>
      <w:lang w:eastAsia="uk-UA"/>
    </w:rPr>
  </w:style>
  <w:style w:type="paragraph" w:styleId="a4">
    <w:name w:val="Balloon Text"/>
    <w:basedOn w:val="a"/>
    <w:link w:val="a5"/>
    <w:uiPriority w:val="99"/>
    <w:semiHidden/>
    <w:unhideWhenUsed/>
    <w:rsid w:val="00560052"/>
    <w:rPr>
      <w:rFonts w:ascii="Segoe UI" w:hAnsi="Segoe UI" w:cs="Segoe UI"/>
      <w:sz w:val="18"/>
      <w:szCs w:val="18"/>
    </w:rPr>
  </w:style>
  <w:style w:type="character" w:customStyle="1" w:styleId="a5">
    <w:name w:val="Текст выноски Знак"/>
    <w:basedOn w:val="a0"/>
    <w:link w:val="a4"/>
    <w:uiPriority w:val="99"/>
    <w:semiHidden/>
    <w:rsid w:val="00560052"/>
    <w:rPr>
      <w:rFonts w:ascii="Segoe UI" w:eastAsia="Times New Roman" w:hAnsi="Segoe UI" w:cs="Segoe UI"/>
      <w:sz w:val="18"/>
      <w:szCs w:val="18"/>
      <w:lang w:val="uk-UA" w:eastAsia="ru-RU"/>
    </w:rPr>
  </w:style>
  <w:style w:type="paragraph" w:styleId="a6">
    <w:name w:val="List Paragraph"/>
    <w:basedOn w:val="a"/>
    <w:uiPriority w:val="34"/>
    <w:qFormat/>
    <w:rsid w:val="00AC5BD5"/>
    <w:pPr>
      <w:spacing w:after="200" w:line="276" w:lineRule="auto"/>
      <w:ind w:left="720"/>
      <w:contextualSpacing/>
    </w:pPr>
    <w:rPr>
      <w:rFonts w:ascii="Calibri" w:eastAsia="Calibri" w:hAnsi="Calibri" w:cs="Calibri"/>
      <w:sz w:val="22"/>
      <w:szCs w:val="22"/>
      <w:lang w:val="ru-RU"/>
    </w:rPr>
  </w:style>
  <w:style w:type="table" w:styleId="a7">
    <w:name w:val="Table Grid"/>
    <w:basedOn w:val="a1"/>
    <w:uiPriority w:val="59"/>
    <w:rsid w:val="00AC5BD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14D"/>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014D"/>
    <w:pPr>
      <w:spacing w:before="100" w:beforeAutospacing="1" w:after="100" w:afterAutospacing="1"/>
    </w:pPr>
    <w:rPr>
      <w:sz w:val="24"/>
      <w:szCs w:val="24"/>
      <w:lang w:eastAsia="uk-UA"/>
    </w:rPr>
  </w:style>
  <w:style w:type="paragraph" w:styleId="a4">
    <w:name w:val="Balloon Text"/>
    <w:basedOn w:val="a"/>
    <w:link w:val="a5"/>
    <w:uiPriority w:val="99"/>
    <w:semiHidden/>
    <w:unhideWhenUsed/>
    <w:rsid w:val="00560052"/>
    <w:rPr>
      <w:rFonts w:ascii="Segoe UI" w:hAnsi="Segoe UI" w:cs="Segoe UI"/>
      <w:sz w:val="18"/>
      <w:szCs w:val="18"/>
    </w:rPr>
  </w:style>
  <w:style w:type="character" w:customStyle="1" w:styleId="a5">
    <w:name w:val="Текст выноски Знак"/>
    <w:basedOn w:val="a0"/>
    <w:link w:val="a4"/>
    <w:uiPriority w:val="99"/>
    <w:semiHidden/>
    <w:rsid w:val="00560052"/>
    <w:rPr>
      <w:rFonts w:ascii="Segoe UI" w:eastAsia="Times New Roman" w:hAnsi="Segoe UI" w:cs="Segoe UI"/>
      <w:sz w:val="18"/>
      <w:szCs w:val="18"/>
      <w:lang w:val="uk-UA" w:eastAsia="ru-RU"/>
    </w:rPr>
  </w:style>
  <w:style w:type="paragraph" w:styleId="a6">
    <w:name w:val="List Paragraph"/>
    <w:basedOn w:val="a"/>
    <w:uiPriority w:val="34"/>
    <w:qFormat/>
    <w:rsid w:val="00AC5BD5"/>
    <w:pPr>
      <w:spacing w:after="200" w:line="276" w:lineRule="auto"/>
      <w:ind w:left="720"/>
      <w:contextualSpacing/>
    </w:pPr>
    <w:rPr>
      <w:rFonts w:ascii="Calibri" w:eastAsia="Calibri" w:hAnsi="Calibri" w:cs="Calibri"/>
      <w:sz w:val="22"/>
      <w:szCs w:val="22"/>
      <w:lang w:val="ru-RU"/>
    </w:rPr>
  </w:style>
  <w:style w:type="table" w:styleId="a7">
    <w:name w:val="Table Grid"/>
    <w:basedOn w:val="a1"/>
    <w:uiPriority w:val="59"/>
    <w:rsid w:val="00AC5BD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489192">
      <w:bodyDiv w:val="1"/>
      <w:marLeft w:val="0"/>
      <w:marRight w:val="0"/>
      <w:marTop w:val="0"/>
      <w:marBottom w:val="0"/>
      <w:divBdr>
        <w:top w:val="none" w:sz="0" w:space="0" w:color="auto"/>
        <w:left w:val="none" w:sz="0" w:space="0" w:color="auto"/>
        <w:bottom w:val="none" w:sz="0" w:space="0" w:color="auto"/>
        <w:right w:val="none" w:sz="0" w:space="0" w:color="auto"/>
      </w:divBdr>
    </w:div>
    <w:div w:id="102560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517</Words>
  <Characters>2950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Bondarenko</cp:lastModifiedBy>
  <cp:revision>7</cp:revision>
  <cp:lastPrinted>2025-09-23T11:59:00Z</cp:lastPrinted>
  <dcterms:created xsi:type="dcterms:W3CDTF">2025-09-23T06:37:00Z</dcterms:created>
  <dcterms:modified xsi:type="dcterms:W3CDTF">2025-10-03T11:43:00Z</dcterms:modified>
</cp:coreProperties>
</file>